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CE" w:rsidRDefault="006A4FCE"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0E2BC4" w:rsidRDefault="000E2BC4"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r>
        <w:rPr>
          <w:rFonts w:ascii="Times New Roman" w:hAnsi="Times New Roman" w:cs="Times New Roman"/>
          <w:sz w:val="24"/>
        </w:rPr>
        <w:t>Emily Simons</w:t>
      </w:r>
    </w:p>
    <w:p w:rsidR="00202FB6" w:rsidRDefault="00202FB6" w:rsidP="00202FB6">
      <w:pPr>
        <w:jc w:val="center"/>
        <w:rPr>
          <w:rFonts w:ascii="Times New Roman" w:hAnsi="Times New Roman" w:cs="Times New Roman"/>
          <w:sz w:val="24"/>
        </w:rPr>
      </w:pPr>
      <w:r>
        <w:rPr>
          <w:rFonts w:ascii="Times New Roman" w:hAnsi="Times New Roman" w:cs="Times New Roman"/>
          <w:sz w:val="24"/>
        </w:rPr>
        <w:t>Unit III Article Review</w:t>
      </w:r>
    </w:p>
    <w:p w:rsidR="000E2BC4" w:rsidRDefault="000E2BC4" w:rsidP="00202FB6">
      <w:pPr>
        <w:jc w:val="center"/>
        <w:rPr>
          <w:rFonts w:ascii="Times New Roman" w:hAnsi="Times New Roman" w:cs="Times New Roman"/>
          <w:sz w:val="24"/>
        </w:rPr>
      </w:pPr>
      <w:r>
        <w:rPr>
          <w:rFonts w:ascii="Times New Roman" w:hAnsi="Times New Roman" w:cs="Times New Roman"/>
          <w:sz w:val="24"/>
        </w:rPr>
        <w:t>Cognitive Psychology</w:t>
      </w:r>
    </w:p>
    <w:p w:rsidR="00202FB6" w:rsidRDefault="00202FB6" w:rsidP="00202FB6">
      <w:pPr>
        <w:jc w:val="center"/>
        <w:rPr>
          <w:rFonts w:ascii="Times New Roman" w:hAnsi="Times New Roman" w:cs="Times New Roman"/>
          <w:sz w:val="24"/>
        </w:rPr>
      </w:pPr>
      <w:r>
        <w:rPr>
          <w:rFonts w:ascii="Times New Roman" w:hAnsi="Times New Roman" w:cs="Times New Roman"/>
          <w:sz w:val="24"/>
        </w:rPr>
        <w:t>Waldorf University</w:t>
      </w: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202FB6" w:rsidRDefault="00202FB6" w:rsidP="00202FB6">
      <w:pPr>
        <w:jc w:val="center"/>
        <w:rPr>
          <w:rFonts w:ascii="Times New Roman" w:hAnsi="Times New Roman" w:cs="Times New Roman"/>
          <w:sz w:val="24"/>
        </w:rPr>
      </w:pPr>
    </w:p>
    <w:p w:rsidR="000E7574" w:rsidRDefault="000E7574" w:rsidP="0051497B">
      <w:pPr>
        <w:spacing w:line="480" w:lineRule="auto"/>
        <w:rPr>
          <w:rFonts w:ascii="Times New Roman" w:hAnsi="Times New Roman" w:cs="Times New Roman"/>
          <w:sz w:val="24"/>
        </w:rPr>
      </w:pPr>
    </w:p>
    <w:p w:rsidR="00510B2E" w:rsidRDefault="000E7574" w:rsidP="0051497B">
      <w:pPr>
        <w:spacing w:line="480" w:lineRule="auto"/>
        <w:rPr>
          <w:rFonts w:ascii="Times New Roman" w:hAnsi="Times New Roman" w:cs="Times New Roman"/>
          <w:sz w:val="24"/>
        </w:rPr>
      </w:pPr>
      <w:r>
        <w:rPr>
          <w:rFonts w:ascii="Times New Roman" w:hAnsi="Times New Roman" w:cs="Times New Roman"/>
          <w:sz w:val="24"/>
        </w:rPr>
        <w:tab/>
        <w:t>There are many major points included in this article. One that stood out to me and I feel is important is the showups vs. lineups section. These are the two categories that eyewitness ide</w:t>
      </w:r>
      <w:r w:rsidR="00E724CC">
        <w:rPr>
          <w:rFonts w:ascii="Times New Roman" w:hAnsi="Times New Roman" w:cs="Times New Roman"/>
          <w:sz w:val="24"/>
        </w:rPr>
        <w:t>ntification procedures are placed into</w:t>
      </w:r>
      <w:r>
        <w:rPr>
          <w:rFonts w:ascii="Times New Roman" w:hAnsi="Times New Roman" w:cs="Times New Roman"/>
          <w:sz w:val="24"/>
        </w:rPr>
        <w:t xml:space="preserve">. The definition of a </w:t>
      </w:r>
      <w:proofErr w:type="spellStart"/>
      <w:r>
        <w:rPr>
          <w:rFonts w:ascii="Times New Roman" w:hAnsi="Times New Roman" w:cs="Times New Roman"/>
          <w:sz w:val="24"/>
        </w:rPr>
        <w:t>showu</w:t>
      </w:r>
      <w:r w:rsidR="00356ABB">
        <w:rPr>
          <w:rFonts w:ascii="Times New Roman" w:hAnsi="Times New Roman" w:cs="Times New Roman"/>
          <w:sz w:val="24"/>
        </w:rPr>
        <w:t>p</w:t>
      </w:r>
      <w:proofErr w:type="spellEnd"/>
      <w:r w:rsidR="00E724CC">
        <w:rPr>
          <w:rFonts w:ascii="Times New Roman" w:hAnsi="Times New Roman" w:cs="Times New Roman"/>
          <w:sz w:val="24"/>
        </w:rPr>
        <w:t xml:space="preserve"> that this article gives us</w:t>
      </w:r>
      <w:r w:rsidR="00356ABB">
        <w:rPr>
          <w:rFonts w:ascii="Times New Roman" w:hAnsi="Times New Roman" w:cs="Times New Roman"/>
          <w:sz w:val="24"/>
        </w:rPr>
        <w:t xml:space="preserve"> is an procedure to show identification of a person when</w:t>
      </w:r>
      <w:r>
        <w:rPr>
          <w:rFonts w:ascii="Times New Roman" w:hAnsi="Times New Roman" w:cs="Times New Roman"/>
          <w:sz w:val="24"/>
        </w:rPr>
        <w:t xml:space="preserve"> l</w:t>
      </w:r>
      <w:r w:rsidR="00356ABB">
        <w:rPr>
          <w:rFonts w:ascii="Times New Roman" w:hAnsi="Times New Roman" w:cs="Times New Roman"/>
          <w:sz w:val="24"/>
        </w:rPr>
        <w:t>aw enforcement personnel</w:t>
      </w:r>
      <w:r>
        <w:rPr>
          <w:rFonts w:ascii="Times New Roman" w:hAnsi="Times New Roman" w:cs="Times New Roman"/>
          <w:sz w:val="24"/>
        </w:rPr>
        <w:t xml:space="preserve"> an eyewitness</w:t>
      </w:r>
      <w:r w:rsidR="00356ABB">
        <w:rPr>
          <w:rFonts w:ascii="Times New Roman" w:hAnsi="Times New Roman" w:cs="Times New Roman"/>
          <w:sz w:val="24"/>
        </w:rPr>
        <w:t xml:space="preserve"> come forward</w:t>
      </w:r>
      <w:r>
        <w:rPr>
          <w:rFonts w:ascii="Times New Roman" w:hAnsi="Times New Roman" w:cs="Times New Roman"/>
          <w:sz w:val="24"/>
        </w:rPr>
        <w:t xml:space="preserve"> wi</w:t>
      </w:r>
      <w:r w:rsidR="00356ABB">
        <w:rPr>
          <w:rFonts w:ascii="Times New Roman" w:hAnsi="Times New Roman" w:cs="Times New Roman"/>
          <w:sz w:val="24"/>
        </w:rPr>
        <w:t>th a one</w:t>
      </w:r>
      <w:r>
        <w:rPr>
          <w:rFonts w:ascii="Times New Roman" w:hAnsi="Times New Roman" w:cs="Times New Roman"/>
          <w:sz w:val="24"/>
        </w:rPr>
        <w:t xml:space="preserve"> individual, also known as the suspect, and then ask t</w:t>
      </w:r>
      <w:r w:rsidR="00356ABB">
        <w:rPr>
          <w:rFonts w:ascii="Times New Roman" w:hAnsi="Times New Roman" w:cs="Times New Roman"/>
          <w:sz w:val="24"/>
        </w:rPr>
        <w:t>he eyewitness if this person</w:t>
      </w:r>
      <w:r>
        <w:rPr>
          <w:rFonts w:ascii="Times New Roman" w:hAnsi="Times New Roman" w:cs="Times New Roman"/>
          <w:sz w:val="24"/>
        </w:rPr>
        <w:t xml:space="preserve"> is the perpetrator</w:t>
      </w:r>
      <w:r w:rsidR="00356ABB">
        <w:rPr>
          <w:rFonts w:ascii="Times New Roman" w:hAnsi="Times New Roman" w:cs="Times New Roman"/>
          <w:sz w:val="24"/>
        </w:rPr>
        <w:t xml:space="preserve"> or the person who committed the crime. The </w:t>
      </w:r>
      <w:r w:rsidR="00E724CC">
        <w:rPr>
          <w:rFonts w:ascii="Times New Roman" w:hAnsi="Times New Roman" w:cs="Times New Roman"/>
          <w:sz w:val="24"/>
        </w:rPr>
        <w:t>largest part of this activity</w:t>
      </w:r>
      <w:r w:rsidR="00356ABB">
        <w:rPr>
          <w:rFonts w:ascii="Times New Roman" w:hAnsi="Times New Roman" w:cs="Times New Roman"/>
          <w:sz w:val="24"/>
        </w:rPr>
        <w:t xml:space="preserve"> that decides</w:t>
      </w:r>
      <w:r>
        <w:rPr>
          <w:rFonts w:ascii="Times New Roman" w:hAnsi="Times New Roman" w:cs="Times New Roman"/>
          <w:sz w:val="24"/>
        </w:rPr>
        <w:t xml:space="preserve"> whether a showup or lin</w:t>
      </w:r>
      <w:r w:rsidR="00E724CC">
        <w:rPr>
          <w:rFonts w:ascii="Times New Roman" w:hAnsi="Times New Roman" w:cs="Times New Roman"/>
          <w:sz w:val="24"/>
        </w:rPr>
        <w:t>eup is present are</w:t>
      </w:r>
      <w:bookmarkStart w:id="0" w:name="_GoBack"/>
      <w:bookmarkEnd w:id="0"/>
      <w:r w:rsidR="00356ABB">
        <w:rPr>
          <w:rFonts w:ascii="Times New Roman" w:hAnsi="Times New Roman" w:cs="Times New Roman"/>
          <w:sz w:val="24"/>
        </w:rPr>
        <w:t xml:space="preserve"> the </w:t>
      </w:r>
      <w:r>
        <w:rPr>
          <w:rFonts w:ascii="Times New Roman" w:hAnsi="Times New Roman" w:cs="Times New Roman"/>
          <w:sz w:val="24"/>
        </w:rPr>
        <w:t>foils or fillers. Fillers are</w:t>
      </w:r>
      <w:r w:rsidR="00356ABB">
        <w:rPr>
          <w:rFonts w:ascii="Times New Roman" w:hAnsi="Times New Roman" w:cs="Times New Roman"/>
          <w:sz w:val="24"/>
        </w:rPr>
        <w:t xml:space="preserve"> described as innocents who are present</w:t>
      </w:r>
      <w:r>
        <w:rPr>
          <w:rFonts w:ascii="Times New Roman" w:hAnsi="Times New Roman" w:cs="Times New Roman"/>
          <w:sz w:val="24"/>
        </w:rPr>
        <w:t xml:space="preserve"> in a lineup along with the suspect to prote</w:t>
      </w:r>
      <w:r w:rsidR="00356ABB">
        <w:rPr>
          <w:rFonts w:ascii="Times New Roman" w:hAnsi="Times New Roman" w:cs="Times New Roman"/>
          <w:sz w:val="24"/>
        </w:rPr>
        <w:t>ct the suspects that may be innocent</w:t>
      </w:r>
      <w:r>
        <w:rPr>
          <w:rFonts w:ascii="Times New Roman" w:hAnsi="Times New Roman" w:cs="Times New Roman"/>
          <w:sz w:val="24"/>
        </w:rPr>
        <w:t xml:space="preserve"> </w:t>
      </w:r>
      <w:r w:rsidR="00356ABB">
        <w:rPr>
          <w:rFonts w:ascii="Times New Roman" w:hAnsi="Times New Roman" w:cs="Times New Roman"/>
          <w:sz w:val="24"/>
        </w:rPr>
        <w:t xml:space="preserve">from eyewitnesses who may want to guess that the </w:t>
      </w:r>
      <w:r>
        <w:rPr>
          <w:rFonts w:ascii="Times New Roman" w:hAnsi="Times New Roman" w:cs="Times New Roman"/>
          <w:sz w:val="24"/>
        </w:rPr>
        <w:t>suspect is the perpetrator. Both showups and lineups can happ</w:t>
      </w:r>
      <w:r w:rsidR="00356ABB">
        <w:rPr>
          <w:rFonts w:ascii="Times New Roman" w:hAnsi="Times New Roman" w:cs="Times New Roman"/>
          <w:sz w:val="24"/>
        </w:rPr>
        <w:t>en in person or with pictures from a camera</w:t>
      </w:r>
      <w:r w:rsidR="00D83A41">
        <w:rPr>
          <w:rFonts w:ascii="Times New Roman" w:hAnsi="Times New Roman" w:cs="Times New Roman"/>
          <w:sz w:val="24"/>
        </w:rPr>
        <w:t xml:space="preserve"> </w:t>
      </w:r>
      <w:sdt>
        <w:sdtPr>
          <w:rPr>
            <w:rFonts w:ascii="Times New Roman" w:hAnsi="Times New Roman" w:cs="Times New Roman"/>
            <w:sz w:val="24"/>
          </w:rPr>
          <w:id w:val="1085496339"/>
          <w:citation/>
        </w:sdtPr>
        <w:sdtEndPr/>
        <w:sdtContent>
          <w:r w:rsidR="00D83A41">
            <w:rPr>
              <w:rFonts w:ascii="Times New Roman" w:hAnsi="Times New Roman" w:cs="Times New Roman"/>
              <w:sz w:val="24"/>
            </w:rPr>
            <w:fldChar w:fldCharType="begin"/>
          </w:r>
          <w:r w:rsidR="00D83A41">
            <w:rPr>
              <w:rFonts w:ascii="Times New Roman" w:hAnsi="Times New Roman" w:cs="Times New Roman"/>
              <w:sz w:val="24"/>
            </w:rPr>
            <w:instrText xml:space="preserve"> CITATION Smi14 \l 1033 </w:instrText>
          </w:r>
          <w:r w:rsidR="00D83A41">
            <w:rPr>
              <w:rFonts w:ascii="Times New Roman" w:hAnsi="Times New Roman" w:cs="Times New Roman"/>
              <w:sz w:val="24"/>
            </w:rPr>
            <w:fldChar w:fldCharType="separate"/>
          </w:r>
          <w:r w:rsidR="00D83A41" w:rsidRPr="00D83A41">
            <w:rPr>
              <w:rFonts w:ascii="Times New Roman" w:hAnsi="Times New Roman" w:cs="Times New Roman"/>
              <w:noProof/>
              <w:sz w:val="24"/>
            </w:rPr>
            <w:t>(Smith &amp; Dufraimont, 2014)</w:t>
          </w:r>
          <w:r w:rsidR="00D83A41">
            <w:rPr>
              <w:rFonts w:ascii="Times New Roman" w:hAnsi="Times New Roman" w:cs="Times New Roman"/>
              <w:sz w:val="24"/>
            </w:rPr>
            <w:fldChar w:fldCharType="end"/>
          </w:r>
        </w:sdtContent>
      </w:sdt>
      <w:r>
        <w:rPr>
          <w:rFonts w:ascii="Times New Roman" w:hAnsi="Times New Roman" w:cs="Times New Roman"/>
          <w:sz w:val="24"/>
        </w:rPr>
        <w:t xml:space="preserve">. </w:t>
      </w:r>
    </w:p>
    <w:p w:rsidR="000E7574" w:rsidRDefault="000E7574" w:rsidP="0051497B">
      <w:pPr>
        <w:spacing w:line="480" w:lineRule="auto"/>
        <w:rPr>
          <w:rFonts w:ascii="Times New Roman" w:hAnsi="Times New Roman" w:cs="Times New Roman"/>
          <w:sz w:val="24"/>
        </w:rPr>
      </w:pPr>
      <w:r>
        <w:rPr>
          <w:rFonts w:ascii="Times New Roman" w:hAnsi="Times New Roman" w:cs="Times New Roman"/>
          <w:sz w:val="24"/>
        </w:rPr>
        <w:tab/>
        <w:t>When</w:t>
      </w:r>
      <w:r w:rsidR="00BF523C">
        <w:rPr>
          <w:rFonts w:ascii="Times New Roman" w:hAnsi="Times New Roman" w:cs="Times New Roman"/>
          <w:sz w:val="24"/>
        </w:rPr>
        <w:t xml:space="preserve"> </w:t>
      </w:r>
      <w:r w:rsidR="00356ABB">
        <w:rPr>
          <w:rFonts w:ascii="Times New Roman" w:hAnsi="Times New Roman" w:cs="Times New Roman"/>
          <w:sz w:val="24"/>
        </w:rPr>
        <w:t>law enforcement personnel conduct</w:t>
      </w:r>
      <w:r w:rsidR="00BF523C">
        <w:rPr>
          <w:rFonts w:ascii="Times New Roman" w:hAnsi="Times New Roman" w:cs="Times New Roman"/>
          <w:sz w:val="24"/>
        </w:rPr>
        <w:t xml:space="preserve"> a lineup, it is needed to balance between two extremes. During a match-to-suspect, these is potential to lead to both extremes. As for match-to-description-of-perpetrator, this provides law enforcement with an objective criterion to make a decision on which feature fillers should and should not share with the suspect</w:t>
      </w:r>
      <w:r w:rsidR="00D83A41">
        <w:rPr>
          <w:rFonts w:ascii="Times New Roman" w:hAnsi="Times New Roman" w:cs="Times New Roman"/>
          <w:sz w:val="24"/>
        </w:rPr>
        <w:t xml:space="preserve"> </w:t>
      </w:r>
      <w:sdt>
        <w:sdtPr>
          <w:rPr>
            <w:rFonts w:ascii="Times New Roman" w:hAnsi="Times New Roman" w:cs="Times New Roman"/>
            <w:sz w:val="24"/>
          </w:rPr>
          <w:id w:val="-1754353607"/>
          <w:citation/>
        </w:sdtPr>
        <w:sdtEndPr/>
        <w:sdtContent>
          <w:r w:rsidR="00D83A41">
            <w:rPr>
              <w:rFonts w:ascii="Times New Roman" w:hAnsi="Times New Roman" w:cs="Times New Roman"/>
              <w:sz w:val="24"/>
            </w:rPr>
            <w:fldChar w:fldCharType="begin"/>
          </w:r>
          <w:r w:rsidR="00D83A41">
            <w:rPr>
              <w:rFonts w:ascii="Times New Roman" w:hAnsi="Times New Roman" w:cs="Times New Roman"/>
              <w:sz w:val="24"/>
            </w:rPr>
            <w:instrText xml:space="preserve"> CITATION Smi14 \l 1033 </w:instrText>
          </w:r>
          <w:r w:rsidR="00D83A41">
            <w:rPr>
              <w:rFonts w:ascii="Times New Roman" w:hAnsi="Times New Roman" w:cs="Times New Roman"/>
              <w:sz w:val="24"/>
            </w:rPr>
            <w:fldChar w:fldCharType="separate"/>
          </w:r>
          <w:r w:rsidR="00D83A41" w:rsidRPr="00D83A41">
            <w:rPr>
              <w:rFonts w:ascii="Times New Roman" w:hAnsi="Times New Roman" w:cs="Times New Roman"/>
              <w:noProof/>
              <w:sz w:val="24"/>
            </w:rPr>
            <w:t>(Smith &amp; Dufraimont, 2014)</w:t>
          </w:r>
          <w:r w:rsidR="00D83A41">
            <w:rPr>
              <w:rFonts w:ascii="Times New Roman" w:hAnsi="Times New Roman" w:cs="Times New Roman"/>
              <w:sz w:val="24"/>
            </w:rPr>
            <w:fldChar w:fldCharType="end"/>
          </w:r>
        </w:sdtContent>
      </w:sdt>
      <w:r w:rsidR="00BF523C">
        <w:rPr>
          <w:rFonts w:ascii="Times New Roman" w:hAnsi="Times New Roman" w:cs="Times New Roman"/>
          <w:sz w:val="24"/>
        </w:rPr>
        <w:t>.</w:t>
      </w:r>
    </w:p>
    <w:p w:rsidR="00510B2E" w:rsidRDefault="00510B2E" w:rsidP="0051497B">
      <w:pPr>
        <w:spacing w:line="480" w:lineRule="auto"/>
        <w:rPr>
          <w:rFonts w:ascii="Times New Roman" w:hAnsi="Times New Roman" w:cs="Times New Roman"/>
          <w:sz w:val="24"/>
        </w:rPr>
      </w:pPr>
      <w:r>
        <w:rPr>
          <w:rFonts w:ascii="Times New Roman" w:hAnsi="Times New Roman" w:cs="Times New Roman"/>
          <w:sz w:val="24"/>
        </w:rPr>
        <w:tab/>
      </w:r>
      <w:r w:rsidR="00973381">
        <w:rPr>
          <w:rFonts w:ascii="Times New Roman" w:hAnsi="Times New Roman" w:cs="Times New Roman"/>
          <w:sz w:val="24"/>
        </w:rPr>
        <w:t>I also found the eyewitness methodology section in the article to be interesting and important. Most of the research on eyewitness identification procedures occurs in psychological laboratories. During this,</w:t>
      </w:r>
      <w:r w:rsidR="00356ABB">
        <w:rPr>
          <w:rFonts w:ascii="Times New Roman" w:hAnsi="Times New Roman" w:cs="Times New Roman"/>
          <w:sz w:val="24"/>
        </w:rPr>
        <w:t xml:space="preserve"> the participants view an </w:t>
      </w:r>
      <w:r w:rsidR="00973381">
        <w:rPr>
          <w:rFonts w:ascii="Times New Roman" w:hAnsi="Times New Roman" w:cs="Times New Roman"/>
          <w:sz w:val="24"/>
        </w:rPr>
        <w:t>event</w:t>
      </w:r>
      <w:r w:rsidR="00356ABB">
        <w:rPr>
          <w:rFonts w:ascii="Times New Roman" w:hAnsi="Times New Roman" w:cs="Times New Roman"/>
          <w:sz w:val="24"/>
        </w:rPr>
        <w:t xml:space="preserve"> which is staged</w:t>
      </w:r>
      <w:r w:rsidR="00973381">
        <w:rPr>
          <w:rFonts w:ascii="Times New Roman" w:hAnsi="Times New Roman" w:cs="Times New Roman"/>
          <w:sz w:val="24"/>
        </w:rPr>
        <w:t>, a video of a simulated crime, or a photo of a target. This phase is often called the encoding phase</w:t>
      </w:r>
      <w:r w:rsidR="00356ABB">
        <w:rPr>
          <w:rFonts w:ascii="Times New Roman" w:hAnsi="Times New Roman" w:cs="Times New Roman"/>
          <w:sz w:val="24"/>
        </w:rPr>
        <w:t xml:space="preserve"> and is used</w:t>
      </w:r>
      <w:r w:rsidR="00973381">
        <w:rPr>
          <w:rFonts w:ascii="Times New Roman" w:hAnsi="Times New Roman" w:cs="Times New Roman"/>
          <w:sz w:val="24"/>
        </w:rPr>
        <w:t xml:space="preserve"> to reflect the memory process in which the eyewitness encodes details of the event and target in the memory. Then later during the recognition phase, the participants are presented with a target-</w:t>
      </w:r>
      <w:r w:rsidR="00973381">
        <w:rPr>
          <w:rFonts w:ascii="Times New Roman" w:hAnsi="Times New Roman" w:cs="Times New Roman"/>
          <w:sz w:val="24"/>
        </w:rPr>
        <w:lastRenderedPageBreak/>
        <w:t>present or target-absent identification procedure and are then asked to make an identification decision</w:t>
      </w:r>
      <w:r w:rsidR="00D83A41">
        <w:rPr>
          <w:rFonts w:ascii="Times New Roman" w:hAnsi="Times New Roman" w:cs="Times New Roman"/>
          <w:sz w:val="24"/>
        </w:rPr>
        <w:t xml:space="preserve"> </w:t>
      </w:r>
      <w:sdt>
        <w:sdtPr>
          <w:rPr>
            <w:rFonts w:ascii="Times New Roman" w:hAnsi="Times New Roman" w:cs="Times New Roman"/>
            <w:sz w:val="24"/>
          </w:rPr>
          <w:id w:val="1885132014"/>
          <w:citation/>
        </w:sdtPr>
        <w:sdtEndPr/>
        <w:sdtContent>
          <w:r w:rsidR="00D83A41">
            <w:rPr>
              <w:rFonts w:ascii="Times New Roman" w:hAnsi="Times New Roman" w:cs="Times New Roman"/>
              <w:sz w:val="24"/>
            </w:rPr>
            <w:fldChar w:fldCharType="begin"/>
          </w:r>
          <w:r w:rsidR="00D83A41">
            <w:rPr>
              <w:rFonts w:ascii="Times New Roman" w:hAnsi="Times New Roman" w:cs="Times New Roman"/>
              <w:sz w:val="24"/>
            </w:rPr>
            <w:instrText xml:space="preserve"> CITATION Smi14 \l 1033 </w:instrText>
          </w:r>
          <w:r w:rsidR="00D83A41">
            <w:rPr>
              <w:rFonts w:ascii="Times New Roman" w:hAnsi="Times New Roman" w:cs="Times New Roman"/>
              <w:sz w:val="24"/>
            </w:rPr>
            <w:fldChar w:fldCharType="separate"/>
          </w:r>
          <w:r w:rsidR="00D83A41" w:rsidRPr="00D83A41">
            <w:rPr>
              <w:rFonts w:ascii="Times New Roman" w:hAnsi="Times New Roman" w:cs="Times New Roman"/>
              <w:noProof/>
              <w:sz w:val="24"/>
            </w:rPr>
            <w:t>(Smith &amp; Dufraimont, 2014)</w:t>
          </w:r>
          <w:r w:rsidR="00D83A41">
            <w:rPr>
              <w:rFonts w:ascii="Times New Roman" w:hAnsi="Times New Roman" w:cs="Times New Roman"/>
              <w:sz w:val="24"/>
            </w:rPr>
            <w:fldChar w:fldCharType="end"/>
          </w:r>
        </w:sdtContent>
      </w:sdt>
      <w:r w:rsidR="00973381">
        <w:rPr>
          <w:rFonts w:ascii="Times New Roman" w:hAnsi="Times New Roman" w:cs="Times New Roman"/>
          <w:sz w:val="24"/>
        </w:rPr>
        <w:t xml:space="preserve">. </w:t>
      </w:r>
    </w:p>
    <w:p w:rsidR="0051497B" w:rsidRDefault="00E13D30" w:rsidP="000E7574">
      <w:pPr>
        <w:spacing w:line="480" w:lineRule="auto"/>
        <w:ind w:firstLine="720"/>
        <w:rPr>
          <w:rFonts w:ascii="Times New Roman" w:hAnsi="Times New Roman" w:cs="Times New Roman"/>
          <w:sz w:val="24"/>
        </w:rPr>
      </w:pPr>
      <w:r>
        <w:rPr>
          <w:rFonts w:ascii="Times New Roman" w:hAnsi="Times New Roman" w:cs="Times New Roman"/>
          <w:sz w:val="24"/>
        </w:rPr>
        <w:t>There are many precautions in pla</w:t>
      </w:r>
      <w:r w:rsidR="00132380">
        <w:rPr>
          <w:rFonts w:ascii="Times New Roman" w:hAnsi="Times New Roman" w:cs="Times New Roman"/>
          <w:sz w:val="24"/>
        </w:rPr>
        <w:t>ce to limit convicting the wrong individual accidentally by</w:t>
      </w:r>
      <w:r>
        <w:rPr>
          <w:rFonts w:ascii="Times New Roman" w:hAnsi="Times New Roman" w:cs="Times New Roman"/>
          <w:sz w:val="24"/>
        </w:rPr>
        <w:t xml:space="preserve"> eyewitness identification. Two of the procedures or safeguards are best-practice identification procedures and courtroom safeguards. </w:t>
      </w:r>
      <w:r w:rsidR="0058125D">
        <w:rPr>
          <w:rFonts w:ascii="Times New Roman" w:hAnsi="Times New Roman" w:cs="Times New Roman"/>
          <w:sz w:val="24"/>
        </w:rPr>
        <w:t xml:space="preserve">Law enforcement personnel use the best-practice identification process when seeking identification of suspects in which have reduced the risk of mistaken eyewitness identifications. As for courtroom safeguards, they are procedural and evidentiary roles in which are designed to attenuate the potential impact of unreliable eyewitness identification evidence. </w:t>
      </w:r>
      <w:r w:rsidR="00481D94">
        <w:rPr>
          <w:rFonts w:ascii="Times New Roman" w:hAnsi="Times New Roman" w:cs="Times New Roman"/>
          <w:sz w:val="24"/>
        </w:rPr>
        <w:t>This provides a wrongly-identified accused which is a last line of defense against wrongful conviction</w:t>
      </w:r>
      <w:r w:rsidR="00D83A41">
        <w:rPr>
          <w:rFonts w:ascii="Times New Roman" w:hAnsi="Times New Roman" w:cs="Times New Roman"/>
          <w:sz w:val="24"/>
        </w:rPr>
        <w:t xml:space="preserve"> </w:t>
      </w:r>
      <w:sdt>
        <w:sdtPr>
          <w:rPr>
            <w:rFonts w:ascii="Times New Roman" w:hAnsi="Times New Roman" w:cs="Times New Roman"/>
            <w:sz w:val="24"/>
          </w:rPr>
          <w:id w:val="-435754227"/>
          <w:citation/>
        </w:sdtPr>
        <w:sdtEndPr/>
        <w:sdtContent>
          <w:r w:rsidR="00D83A41">
            <w:rPr>
              <w:rFonts w:ascii="Times New Roman" w:hAnsi="Times New Roman" w:cs="Times New Roman"/>
              <w:sz w:val="24"/>
            </w:rPr>
            <w:fldChar w:fldCharType="begin"/>
          </w:r>
          <w:r w:rsidR="00D83A41">
            <w:rPr>
              <w:rFonts w:ascii="Times New Roman" w:hAnsi="Times New Roman" w:cs="Times New Roman"/>
              <w:sz w:val="24"/>
            </w:rPr>
            <w:instrText xml:space="preserve"> CITATION Smi14 \l 1033 </w:instrText>
          </w:r>
          <w:r w:rsidR="00D83A41">
            <w:rPr>
              <w:rFonts w:ascii="Times New Roman" w:hAnsi="Times New Roman" w:cs="Times New Roman"/>
              <w:sz w:val="24"/>
            </w:rPr>
            <w:fldChar w:fldCharType="separate"/>
          </w:r>
          <w:r w:rsidR="00D83A41" w:rsidRPr="00D83A41">
            <w:rPr>
              <w:rFonts w:ascii="Times New Roman" w:hAnsi="Times New Roman" w:cs="Times New Roman"/>
              <w:noProof/>
              <w:sz w:val="24"/>
            </w:rPr>
            <w:t>(Smith &amp; Dufraimont, 2014)</w:t>
          </w:r>
          <w:r w:rsidR="00D83A41">
            <w:rPr>
              <w:rFonts w:ascii="Times New Roman" w:hAnsi="Times New Roman" w:cs="Times New Roman"/>
              <w:sz w:val="24"/>
            </w:rPr>
            <w:fldChar w:fldCharType="end"/>
          </w:r>
        </w:sdtContent>
      </w:sdt>
      <w:r w:rsidR="00481D94">
        <w:rPr>
          <w:rFonts w:ascii="Times New Roman" w:hAnsi="Times New Roman" w:cs="Times New Roman"/>
          <w:sz w:val="24"/>
        </w:rPr>
        <w:t>.</w:t>
      </w:r>
    </w:p>
    <w:p w:rsidR="00202FB6" w:rsidRDefault="00202FB6" w:rsidP="0051497B">
      <w:pPr>
        <w:spacing w:line="480" w:lineRule="auto"/>
        <w:ind w:firstLine="720"/>
        <w:rPr>
          <w:rFonts w:ascii="Times New Roman" w:hAnsi="Times New Roman" w:cs="Times New Roman"/>
          <w:sz w:val="24"/>
        </w:rPr>
      </w:pPr>
      <w:r>
        <w:rPr>
          <w:rFonts w:ascii="Times New Roman" w:hAnsi="Times New Roman" w:cs="Times New Roman"/>
          <w:sz w:val="24"/>
        </w:rPr>
        <w:t xml:space="preserve">According to this article’s research, the best way to prevent convicting a person who is innocent is to adopt eyewitness procedures that limit innocent suspect identifications. </w:t>
      </w:r>
      <w:r w:rsidR="0051497B">
        <w:rPr>
          <w:rFonts w:ascii="Times New Roman" w:hAnsi="Times New Roman" w:cs="Times New Roman"/>
          <w:sz w:val="24"/>
        </w:rPr>
        <w:t>Even though there is little evidence that jury education can or cannot sensitize jurors to the accuracy of eyewitnesses, there is still some hope for the efficacy of jury education from research demonstrating that jurors are most definitely responsive to expert opi</w:t>
      </w:r>
      <w:r w:rsidR="00A739BC">
        <w:rPr>
          <w:rFonts w:ascii="Times New Roman" w:hAnsi="Times New Roman" w:cs="Times New Roman"/>
          <w:sz w:val="24"/>
        </w:rPr>
        <w:t xml:space="preserve">nion. A goal of these </w:t>
      </w:r>
      <w:r w:rsidR="0051497B">
        <w:rPr>
          <w:rFonts w:ascii="Times New Roman" w:hAnsi="Times New Roman" w:cs="Times New Roman"/>
          <w:sz w:val="24"/>
        </w:rPr>
        <w:t>strategies is to increase juror sensitivity to eyewitness accuracy as sometimes jurors often over believe eyewitness identification t</w:t>
      </w:r>
      <w:r w:rsidR="00DA0CA9">
        <w:rPr>
          <w:rFonts w:ascii="Times New Roman" w:hAnsi="Times New Roman" w:cs="Times New Roman"/>
          <w:sz w:val="24"/>
        </w:rPr>
        <w:t>estimonies. The thought of convicting the wrong person increases and</w:t>
      </w:r>
      <w:r w:rsidR="0051497B">
        <w:rPr>
          <w:rFonts w:ascii="Times New Roman" w:hAnsi="Times New Roman" w:cs="Times New Roman"/>
          <w:sz w:val="24"/>
        </w:rPr>
        <w:t xml:space="preserve"> will lead to a greater decrease in false alarms relating to hits and increasing the juror’s belief. Overall, the lineup reform procedures reduce identification of the innocent and increase the likelihood that a suspect is guilty given identification</w:t>
      </w:r>
      <w:r w:rsidR="00D83A41">
        <w:rPr>
          <w:rFonts w:ascii="Times New Roman" w:hAnsi="Times New Roman" w:cs="Times New Roman"/>
          <w:sz w:val="24"/>
        </w:rPr>
        <w:t xml:space="preserve"> </w:t>
      </w:r>
      <w:sdt>
        <w:sdtPr>
          <w:rPr>
            <w:rFonts w:ascii="Times New Roman" w:hAnsi="Times New Roman" w:cs="Times New Roman"/>
            <w:sz w:val="24"/>
          </w:rPr>
          <w:id w:val="-928193090"/>
          <w:citation/>
        </w:sdtPr>
        <w:sdtEndPr/>
        <w:sdtContent>
          <w:r w:rsidR="00D83A41">
            <w:rPr>
              <w:rFonts w:ascii="Times New Roman" w:hAnsi="Times New Roman" w:cs="Times New Roman"/>
              <w:sz w:val="24"/>
            </w:rPr>
            <w:fldChar w:fldCharType="begin"/>
          </w:r>
          <w:r w:rsidR="00D83A41">
            <w:rPr>
              <w:rFonts w:ascii="Times New Roman" w:hAnsi="Times New Roman" w:cs="Times New Roman"/>
              <w:sz w:val="24"/>
            </w:rPr>
            <w:instrText xml:space="preserve"> CITATION Smi14 \l 1033 </w:instrText>
          </w:r>
          <w:r w:rsidR="00D83A41">
            <w:rPr>
              <w:rFonts w:ascii="Times New Roman" w:hAnsi="Times New Roman" w:cs="Times New Roman"/>
              <w:sz w:val="24"/>
            </w:rPr>
            <w:fldChar w:fldCharType="separate"/>
          </w:r>
          <w:r w:rsidR="00D83A41" w:rsidRPr="00D83A41">
            <w:rPr>
              <w:rFonts w:ascii="Times New Roman" w:hAnsi="Times New Roman" w:cs="Times New Roman"/>
              <w:noProof/>
              <w:sz w:val="24"/>
            </w:rPr>
            <w:t>(Smith &amp; Dufraimont, 2014)</w:t>
          </w:r>
          <w:r w:rsidR="00D83A41">
            <w:rPr>
              <w:rFonts w:ascii="Times New Roman" w:hAnsi="Times New Roman" w:cs="Times New Roman"/>
              <w:sz w:val="24"/>
            </w:rPr>
            <w:fldChar w:fldCharType="end"/>
          </w:r>
        </w:sdtContent>
      </w:sdt>
      <w:r w:rsidR="0051497B">
        <w:rPr>
          <w:rFonts w:ascii="Times New Roman" w:hAnsi="Times New Roman" w:cs="Times New Roman"/>
          <w:sz w:val="24"/>
        </w:rPr>
        <w:t xml:space="preserve">. </w:t>
      </w:r>
    </w:p>
    <w:p w:rsidR="00973381" w:rsidRDefault="00973381" w:rsidP="0051497B">
      <w:pPr>
        <w:spacing w:line="480" w:lineRule="auto"/>
        <w:ind w:firstLine="720"/>
        <w:rPr>
          <w:rFonts w:ascii="Times New Roman" w:hAnsi="Times New Roman" w:cs="Times New Roman"/>
          <w:sz w:val="24"/>
        </w:rPr>
      </w:pPr>
      <w:r>
        <w:rPr>
          <w:rFonts w:ascii="Times New Roman" w:hAnsi="Times New Roman" w:cs="Times New Roman"/>
          <w:sz w:val="24"/>
        </w:rPr>
        <w:t xml:space="preserve">I personally knew nothing about this topic until reading this article. Although I can’t relate to it personally, I still found it very interesting. I believe that they have a strong system </w:t>
      </w:r>
      <w:r>
        <w:rPr>
          <w:rFonts w:ascii="Times New Roman" w:hAnsi="Times New Roman" w:cs="Times New Roman"/>
          <w:sz w:val="24"/>
        </w:rPr>
        <w:lastRenderedPageBreak/>
        <w:t>when it comes to eyewitness identification cases and can’t think of anything else they could do to improve it.</w:t>
      </w: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1855DC" w:rsidRDefault="001855DC" w:rsidP="0051497B">
      <w:pPr>
        <w:spacing w:line="480" w:lineRule="auto"/>
        <w:ind w:firstLine="720"/>
        <w:rPr>
          <w:rFonts w:ascii="Times New Roman" w:hAnsi="Times New Roman" w:cs="Times New Roman"/>
          <w:sz w:val="24"/>
        </w:rPr>
      </w:pPr>
    </w:p>
    <w:p w:rsidR="00E27CB7" w:rsidRDefault="00E27CB7" w:rsidP="00C84198">
      <w:pPr>
        <w:spacing w:line="480" w:lineRule="auto"/>
        <w:rPr>
          <w:rFonts w:ascii="Times New Roman" w:hAnsi="Times New Roman" w:cs="Times New Roman"/>
          <w:sz w:val="24"/>
        </w:rPr>
      </w:pPr>
    </w:p>
    <w:sdt>
      <w:sdtPr>
        <w:rPr>
          <w:rFonts w:asciiTheme="minorHAnsi" w:eastAsiaTheme="minorHAnsi" w:hAnsiTheme="minorHAnsi" w:cstheme="minorBidi"/>
          <w:color w:val="auto"/>
          <w:sz w:val="22"/>
          <w:szCs w:val="22"/>
        </w:rPr>
        <w:id w:val="259345100"/>
        <w:docPartObj>
          <w:docPartGallery w:val="Bibliographies"/>
          <w:docPartUnique/>
        </w:docPartObj>
      </w:sdtPr>
      <w:sdtEndPr/>
      <w:sdtContent>
        <w:p w:rsidR="001855DC" w:rsidRDefault="001855DC">
          <w:pPr>
            <w:pStyle w:val="Heading1"/>
            <w:rPr>
              <w:rFonts w:asciiTheme="minorHAnsi" w:eastAsiaTheme="minorHAnsi" w:hAnsiTheme="minorHAnsi" w:cstheme="minorBidi"/>
              <w:color w:val="auto"/>
              <w:sz w:val="22"/>
              <w:szCs w:val="22"/>
            </w:rPr>
          </w:pPr>
        </w:p>
        <w:p w:rsidR="001855DC" w:rsidRDefault="001855DC" w:rsidP="001855DC"/>
        <w:p w:rsidR="001855DC" w:rsidRDefault="001855DC" w:rsidP="001855DC"/>
        <w:p w:rsidR="001855DC" w:rsidRPr="001855DC" w:rsidRDefault="001855DC" w:rsidP="001855DC"/>
        <w:p w:rsidR="001855DC" w:rsidRDefault="001855DC">
          <w:pPr>
            <w:pStyle w:val="Heading1"/>
            <w:rPr>
              <w:rFonts w:asciiTheme="minorHAnsi" w:eastAsiaTheme="minorHAnsi" w:hAnsiTheme="minorHAnsi" w:cstheme="minorBidi"/>
              <w:color w:val="auto"/>
              <w:sz w:val="22"/>
              <w:szCs w:val="22"/>
            </w:rPr>
          </w:pPr>
        </w:p>
        <w:p w:rsidR="00E27CB7" w:rsidRDefault="00E27CB7">
          <w:pPr>
            <w:pStyle w:val="Heading1"/>
          </w:pPr>
          <w:r>
            <w:t>References</w:t>
          </w:r>
        </w:p>
        <w:sdt>
          <w:sdtPr>
            <w:id w:val="-573587230"/>
            <w:bibliography/>
          </w:sdtPr>
          <w:sdtEndPr/>
          <w:sdtContent>
            <w:p w:rsidR="00E27CB7" w:rsidRDefault="00E27CB7">
              <w:r w:rsidRPr="00E27CB7">
                <w:rPr>
                  <w:rFonts w:ascii="Times New Roman" w:hAnsi="Times New Roman" w:cs="Times New Roman"/>
                  <w:sz w:val="24"/>
                </w:rPr>
                <w:t xml:space="preserve">Smith, A. M., &amp; </w:t>
              </w:r>
              <w:proofErr w:type="spellStart"/>
              <w:r w:rsidRPr="00E27CB7">
                <w:rPr>
                  <w:rFonts w:ascii="Times New Roman" w:hAnsi="Times New Roman" w:cs="Times New Roman"/>
                  <w:sz w:val="24"/>
                </w:rPr>
                <w:t>Dufraimont</w:t>
              </w:r>
              <w:proofErr w:type="spellEnd"/>
              <w:r w:rsidRPr="00E27CB7">
                <w:rPr>
                  <w:rFonts w:ascii="Times New Roman" w:hAnsi="Times New Roman" w:cs="Times New Roman"/>
                  <w:sz w:val="24"/>
                </w:rPr>
                <w:t>, L. (2014). Safeguards against wrongful conviction in eyewitness identification cases: Insights from empirical research.</w:t>
              </w:r>
              <w:r w:rsidRPr="00E27CB7">
                <w:rPr>
                  <w:rFonts w:ascii="Times New Roman" w:hAnsi="Times New Roman" w:cs="Times New Roman"/>
                  <w:i/>
                  <w:iCs/>
                  <w:sz w:val="24"/>
                </w:rPr>
                <w:t xml:space="preserve"> Canadian Criminal Law Review, 18</w:t>
              </w:r>
              <w:r w:rsidRPr="00E27CB7">
                <w:rPr>
                  <w:rFonts w:ascii="Times New Roman" w:hAnsi="Times New Roman" w:cs="Times New Roman"/>
                  <w:sz w:val="24"/>
                </w:rPr>
                <w:t>(2), 199-217. Retrieved from https://search-proquest-com.libraryresources.waldorf.edu/docview/1535665836?accountid</w:t>
              </w:r>
              <w:r w:rsidRPr="00E27CB7">
                <w:rPr>
                  <w:rFonts w:ascii="Times New Roman" w:hAnsi="Times New Roman" w:cs="Times New Roman"/>
                  <w:sz w:val="24"/>
                  <w:szCs w:val="24"/>
                </w:rPr>
                <w:t>=40957</w:t>
              </w:r>
            </w:p>
          </w:sdtContent>
        </w:sdt>
      </w:sdtContent>
    </w:sdt>
    <w:p w:rsidR="00E27CB7" w:rsidRPr="00202FB6" w:rsidRDefault="00E27CB7" w:rsidP="0051497B">
      <w:pPr>
        <w:spacing w:line="480" w:lineRule="auto"/>
        <w:ind w:firstLine="720"/>
        <w:rPr>
          <w:rFonts w:ascii="Times New Roman" w:hAnsi="Times New Roman" w:cs="Times New Roman"/>
          <w:sz w:val="24"/>
        </w:rPr>
      </w:pPr>
    </w:p>
    <w:sectPr w:rsidR="00E27CB7" w:rsidRPr="00202F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B73" w:rsidRDefault="00342B73" w:rsidP="00202FB6">
      <w:pPr>
        <w:spacing w:after="0" w:line="240" w:lineRule="auto"/>
      </w:pPr>
      <w:r>
        <w:separator/>
      </w:r>
    </w:p>
  </w:endnote>
  <w:endnote w:type="continuationSeparator" w:id="0">
    <w:p w:rsidR="00342B73" w:rsidRDefault="00342B73" w:rsidP="0020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B73" w:rsidRDefault="00342B73" w:rsidP="00202FB6">
      <w:pPr>
        <w:spacing w:after="0" w:line="240" w:lineRule="auto"/>
      </w:pPr>
      <w:r>
        <w:separator/>
      </w:r>
    </w:p>
  </w:footnote>
  <w:footnote w:type="continuationSeparator" w:id="0">
    <w:p w:rsidR="00342B73" w:rsidRDefault="00342B73" w:rsidP="0020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760250"/>
      <w:docPartObj>
        <w:docPartGallery w:val="Page Numbers (Top of Page)"/>
        <w:docPartUnique/>
      </w:docPartObj>
    </w:sdtPr>
    <w:sdtEndPr>
      <w:rPr>
        <w:noProof/>
      </w:rPr>
    </w:sdtEndPr>
    <w:sdtContent>
      <w:p w:rsidR="00202FB6" w:rsidRDefault="00202FB6">
        <w:pPr>
          <w:pStyle w:val="Header"/>
          <w:jc w:val="right"/>
        </w:pPr>
        <w:r>
          <w:fldChar w:fldCharType="begin"/>
        </w:r>
        <w:r>
          <w:instrText xml:space="preserve"> PAGE   \* MERGEFORMAT </w:instrText>
        </w:r>
        <w:r>
          <w:fldChar w:fldCharType="separate"/>
        </w:r>
        <w:r w:rsidR="00E724CC">
          <w:rPr>
            <w:noProof/>
          </w:rPr>
          <w:t>5</w:t>
        </w:r>
        <w:r>
          <w:rPr>
            <w:noProof/>
          </w:rPr>
          <w:fldChar w:fldCharType="end"/>
        </w:r>
      </w:p>
    </w:sdtContent>
  </w:sdt>
  <w:p w:rsidR="00202FB6" w:rsidRDefault="00202FB6">
    <w:pPr>
      <w:pStyle w:val="Header"/>
    </w:pPr>
    <w:r>
      <w:t>Unit III Article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BB"/>
    <w:rsid w:val="000E2BC4"/>
    <w:rsid w:val="000E7574"/>
    <w:rsid w:val="00132380"/>
    <w:rsid w:val="00137199"/>
    <w:rsid w:val="001855DC"/>
    <w:rsid w:val="00202FB6"/>
    <w:rsid w:val="00342B73"/>
    <w:rsid w:val="00356ABB"/>
    <w:rsid w:val="00481D94"/>
    <w:rsid w:val="00510B2E"/>
    <w:rsid w:val="00510D47"/>
    <w:rsid w:val="0051497B"/>
    <w:rsid w:val="0058125D"/>
    <w:rsid w:val="006A4FCE"/>
    <w:rsid w:val="006E74B5"/>
    <w:rsid w:val="00973381"/>
    <w:rsid w:val="00A57CBB"/>
    <w:rsid w:val="00A739BC"/>
    <w:rsid w:val="00AF3874"/>
    <w:rsid w:val="00BF523C"/>
    <w:rsid w:val="00C84198"/>
    <w:rsid w:val="00D83A41"/>
    <w:rsid w:val="00DA0CA9"/>
    <w:rsid w:val="00E13D30"/>
    <w:rsid w:val="00E27CB7"/>
    <w:rsid w:val="00E7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853024-7556-4165-9369-B0430228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C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FB6"/>
  </w:style>
  <w:style w:type="paragraph" w:styleId="Footer">
    <w:name w:val="footer"/>
    <w:basedOn w:val="Normal"/>
    <w:link w:val="FooterChar"/>
    <w:uiPriority w:val="99"/>
    <w:unhideWhenUsed/>
    <w:rsid w:val="0020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FB6"/>
  </w:style>
  <w:style w:type="character" w:customStyle="1" w:styleId="Heading1Char">
    <w:name w:val="Heading 1 Char"/>
    <w:basedOn w:val="DefaultParagraphFont"/>
    <w:link w:val="Heading1"/>
    <w:uiPriority w:val="9"/>
    <w:rsid w:val="00E27CB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8639">
      <w:bodyDiv w:val="1"/>
      <w:marLeft w:val="0"/>
      <w:marRight w:val="0"/>
      <w:marTop w:val="0"/>
      <w:marBottom w:val="0"/>
      <w:divBdr>
        <w:top w:val="none" w:sz="0" w:space="0" w:color="auto"/>
        <w:left w:val="none" w:sz="0" w:space="0" w:color="auto"/>
        <w:bottom w:val="none" w:sz="0" w:space="0" w:color="auto"/>
        <w:right w:val="none" w:sz="0" w:space="0" w:color="auto"/>
      </w:divBdr>
    </w:div>
    <w:div w:id="257181123">
      <w:bodyDiv w:val="1"/>
      <w:marLeft w:val="0"/>
      <w:marRight w:val="0"/>
      <w:marTop w:val="0"/>
      <w:marBottom w:val="0"/>
      <w:divBdr>
        <w:top w:val="none" w:sz="0" w:space="0" w:color="auto"/>
        <w:left w:val="none" w:sz="0" w:space="0" w:color="auto"/>
        <w:bottom w:val="none" w:sz="0" w:space="0" w:color="auto"/>
        <w:right w:val="none" w:sz="0" w:space="0" w:color="auto"/>
      </w:divBdr>
    </w:div>
    <w:div w:id="1334263384">
      <w:bodyDiv w:val="1"/>
      <w:marLeft w:val="0"/>
      <w:marRight w:val="0"/>
      <w:marTop w:val="0"/>
      <w:marBottom w:val="0"/>
      <w:divBdr>
        <w:top w:val="none" w:sz="0" w:space="0" w:color="auto"/>
        <w:left w:val="none" w:sz="0" w:space="0" w:color="auto"/>
        <w:bottom w:val="none" w:sz="0" w:space="0" w:color="auto"/>
        <w:right w:val="none" w:sz="0" w:space="0" w:color="auto"/>
      </w:divBdr>
    </w:div>
    <w:div w:id="1578708484">
      <w:bodyDiv w:val="1"/>
      <w:marLeft w:val="0"/>
      <w:marRight w:val="0"/>
      <w:marTop w:val="0"/>
      <w:marBottom w:val="0"/>
      <w:divBdr>
        <w:top w:val="none" w:sz="0" w:space="0" w:color="auto"/>
        <w:left w:val="none" w:sz="0" w:space="0" w:color="auto"/>
        <w:bottom w:val="none" w:sz="0" w:space="0" w:color="auto"/>
        <w:right w:val="none" w:sz="0" w:space="0" w:color="auto"/>
      </w:divBdr>
    </w:div>
    <w:div w:id="19487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Smi14</b:Tag>
    <b:SourceType>JournalArticle</b:SourceType>
    <b:Guid>{7DDECC4B-C009-482E-8A51-881E214280DF}</b:Guid>
    <b:Title>Safeguards Against Wrongful Conviction in Eyewitness Identification Cases: Insights from Empirical Research</b:Title>
    <b:Year>2014</b:Year>
    <b:Author>
      <b:Author>
        <b:NameList>
          <b:Person>
            <b:Last>Smith</b:Last>
            <b:First>Andrew</b:First>
          </b:Person>
          <b:Person>
            <b:Last>Dufraimont</b:Last>
            <b:First>Lisa</b:First>
          </b:Person>
        </b:NameList>
      </b:Author>
    </b:Author>
    <b:RefOrder>1</b:RefOrder>
  </b:Source>
</b:Sources>
</file>

<file path=customXml/itemProps1.xml><?xml version="1.0" encoding="utf-8"?>
<ds:datastoreItem xmlns:ds="http://schemas.openxmlformats.org/officeDocument/2006/customXml" ds:itemID="{1D7567AE-6784-4D5C-BC27-5BCAFE72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Emily.R.Simons</dc:creator>
  <cp:keywords/>
  <dc:description/>
  <cp:lastModifiedBy>Emily.R.Simons</cp:lastModifiedBy>
  <cp:revision>19</cp:revision>
  <dcterms:created xsi:type="dcterms:W3CDTF">2017-11-17T17:15:00Z</dcterms:created>
  <dcterms:modified xsi:type="dcterms:W3CDTF">2017-11-20T14:24:00Z</dcterms:modified>
</cp:coreProperties>
</file>